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675" w:rsidRPr="00C81435" w:rsidRDefault="00746675" w:rsidP="00746675">
      <w:pPr>
        <w:widowControl/>
        <w:spacing w:before="100" w:beforeAutospacing="1" w:after="100" w:afterAutospacing="1"/>
        <w:jc w:val="center"/>
        <w:rPr>
          <w:rFonts w:ascii="微软雅黑" w:eastAsia="微软雅黑" w:hAnsi="微软雅黑" w:cs="宋体"/>
          <w:kern w:val="0"/>
          <w:sz w:val="56"/>
          <w:szCs w:val="56"/>
        </w:rPr>
      </w:pPr>
      <w:bookmarkStart w:id="0" w:name="_GoBack"/>
      <w:r w:rsidRPr="00C81435">
        <w:rPr>
          <w:rFonts w:ascii="小标宋" w:eastAsia="小标宋" w:hAnsi="微软雅黑" w:cs="宋体" w:hint="eastAsia"/>
          <w:color w:val="FF0000"/>
          <w:kern w:val="0"/>
          <w:sz w:val="56"/>
          <w:szCs w:val="56"/>
        </w:rPr>
        <w:t>教务处文件</w:t>
      </w:r>
    </w:p>
    <w:bookmarkEnd w:id="0"/>
    <w:p w:rsidR="00746675" w:rsidRPr="00746675" w:rsidRDefault="00746675" w:rsidP="00746675">
      <w:pPr>
        <w:widowControl/>
        <w:spacing w:before="100" w:beforeAutospacing="1" w:after="100" w:afterAutospacing="1"/>
        <w:jc w:val="center"/>
        <w:rPr>
          <w:rFonts w:ascii="微软雅黑" w:eastAsia="微软雅黑" w:hAnsi="微软雅黑" w:cs="宋体"/>
          <w:kern w:val="0"/>
          <w:szCs w:val="21"/>
        </w:rPr>
      </w:pPr>
      <w:r w:rsidRPr="00746675">
        <w:rPr>
          <w:rFonts w:ascii="微软雅黑" w:eastAsia="微软雅黑" w:hAnsi="微软雅黑" w:cs="宋体" w:hint="eastAsia"/>
          <w:kern w:val="0"/>
          <w:szCs w:val="21"/>
        </w:rPr>
        <w:t>  </w:t>
      </w:r>
      <w:r w:rsidRPr="00746675">
        <w:rPr>
          <w:rFonts w:ascii="微软雅黑" w:eastAsia="微软雅黑" w:hAnsi="微软雅黑" w:cs="宋体" w:hint="eastAsia"/>
          <w:vanish/>
          <w:kern w:val="0"/>
          <w:szCs w:val="21"/>
        </w:rPr>
        <w:t> </w:t>
      </w:r>
      <w:r w:rsidRPr="00746675">
        <w:rPr>
          <w:rFonts w:ascii="微软雅黑" w:eastAsia="微软雅黑" w:hAnsi="微软雅黑" w:cs="宋体" w:hint="eastAsia"/>
          <w:kern w:val="0"/>
          <w:sz w:val="27"/>
          <w:szCs w:val="27"/>
        </w:rPr>
        <w:t>汕大教字〔2015〕03号</w:t>
      </w:r>
    </w:p>
    <w:p w:rsidR="00746675" w:rsidRPr="00746675" w:rsidRDefault="003E7A11" w:rsidP="00746675">
      <w:pPr>
        <w:widowControl/>
        <w:spacing w:before="100" w:beforeAutospacing="1" w:after="100" w:afterAutospacing="1"/>
        <w:jc w:val="center"/>
        <w:rPr>
          <w:rFonts w:ascii="微软雅黑" w:eastAsia="微软雅黑" w:hAnsi="微软雅黑" w:cs="宋体"/>
          <w:kern w:val="0"/>
          <w:szCs w:val="21"/>
        </w:rPr>
      </w:pPr>
      <w:r w:rsidRPr="00746675">
        <w:rPr>
          <w:rFonts w:ascii="仿宋_GB2312" w:eastAsia="仿宋_GB2312" w:hAnsi="Times New Roman" w:cs="Times New Roman"/>
          <w:noProof/>
          <w:kern w:val="0"/>
          <w:sz w:val="32"/>
          <w:szCs w:val="32"/>
        </w:rPr>
        <w:drawing>
          <wp:inline distT="0" distB="0" distL="0" distR="0" wp14:anchorId="2CBE449D" wp14:editId="1A5AFDCD">
            <wp:extent cx="5274310" cy="34473"/>
            <wp:effectExtent l="0" t="0" r="0" b="3810"/>
            <wp:docPr id="3" name="图片 3" descr="docimages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images_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4473"/>
                    </a:xfrm>
                    <a:prstGeom prst="rect">
                      <a:avLst/>
                    </a:prstGeom>
                    <a:noFill/>
                    <a:ln>
                      <a:noFill/>
                    </a:ln>
                  </pic:spPr>
                </pic:pic>
              </a:graphicData>
            </a:graphic>
          </wp:inline>
        </w:drawing>
      </w:r>
    </w:p>
    <w:p w:rsidR="00746675" w:rsidRPr="00746675" w:rsidRDefault="00746675" w:rsidP="00746675">
      <w:pPr>
        <w:widowControl/>
        <w:spacing w:before="100" w:beforeAutospacing="1" w:after="100" w:afterAutospacing="1"/>
        <w:jc w:val="center"/>
        <w:rPr>
          <w:rFonts w:ascii="微软雅黑" w:eastAsia="微软雅黑" w:hAnsi="微软雅黑" w:cs="宋体"/>
          <w:kern w:val="0"/>
          <w:szCs w:val="21"/>
        </w:rPr>
      </w:pPr>
      <w:r w:rsidRPr="00746675">
        <w:rPr>
          <w:rFonts w:ascii="仿宋_GB2312" w:eastAsia="仿宋_GB2312" w:hAnsi="Times New Roman" w:cs="Times New Roman" w:hint="eastAsia"/>
          <w:kern w:val="0"/>
          <w:sz w:val="32"/>
          <w:szCs w:val="32"/>
        </w:rPr>
        <w:t>    </w:t>
      </w:r>
      <w:r w:rsidRPr="00746675">
        <w:rPr>
          <w:rFonts w:ascii="微软雅黑" w:eastAsia="微软雅黑" w:hAnsi="微软雅黑" w:cs="宋体" w:hint="eastAsia"/>
          <w:kern w:val="0"/>
          <w:szCs w:val="21"/>
        </w:rPr>
        <w:t> </w:t>
      </w:r>
      <w:r w:rsidRPr="00746675">
        <w:rPr>
          <w:rFonts w:ascii="宋体" w:eastAsia="宋体" w:hAnsi="宋体" w:cs="宋体" w:hint="eastAsia"/>
          <w:b/>
          <w:color w:val="000000"/>
          <w:kern w:val="0"/>
          <w:sz w:val="30"/>
          <w:szCs w:val="30"/>
        </w:rPr>
        <w:t>汕头大学本科生课程成绩管理暂行规定</w:t>
      </w:r>
    </w:p>
    <w:p w:rsidR="00746675" w:rsidRPr="00746675" w:rsidRDefault="00746675" w:rsidP="00746675">
      <w:pPr>
        <w:widowControl/>
        <w:spacing w:before="100" w:beforeAutospacing="1" w:after="100" w:afterAutospacing="1"/>
        <w:jc w:val="left"/>
        <w:rPr>
          <w:rFonts w:ascii="微软雅黑" w:eastAsia="微软雅黑" w:hAnsi="微软雅黑" w:cs="宋体"/>
          <w:kern w:val="0"/>
          <w:szCs w:val="21"/>
        </w:rPr>
      </w:pPr>
      <w:r w:rsidRPr="00746675">
        <w:rPr>
          <w:rFonts w:ascii="微软雅黑" w:eastAsia="微软雅黑" w:hAnsi="微软雅黑" w:cs="宋体" w:hint="eastAsia"/>
          <w:kern w:val="0"/>
          <w:szCs w:val="21"/>
        </w:rPr>
        <w:t> </w:t>
      </w:r>
      <w:r w:rsidRPr="00746675">
        <w:rPr>
          <w:rFonts w:ascii="宋体" w:eastAsia="宋体" w:hAnsi="宋体" w:cs="宋体" w:hint="eastAsia"/>
          <w:color w:val="000000"/>
          <w:kern w:val="0"/>
          <w:sz w:val="24"/>
          <w:szCs w:val="24"/>
        </w:rPr>
        <w:t xml:space="preserve">　　</w:t>
      </w:r>
    </w:p>
    <w:p w:rsidR="00746675" w:rsidRPr="00746675" w:rsidRDefault="00746675" w:rsidP="00746675">
      <w:pPr>
        <w:widowControl/>
        <w:spacing w:before="100" w:beforeAutospacing="1" w:after="100" w:afterAutospacing="1"/>
        <w:jc w:val="left"/>
        <w:rPr>
          <w:rFonts w:ascii="微软雅黑" w:eastAsia="微软雅黑" w:hAnsi="微软雅黑" w:cs="宋体"/>
          <w:kern w:val="0"/>
          <w:szCs w:val="21"/>
        </w:rPr>
      </w:pPr>
      <w:r w:rsidRPr="00746675">
        <w:rPr>
          <w:rFonts w:ascii="宋体" w:eastAsia="宋体" w:hAnsi="宋体" w:cs="宋体" w:hint="eastAsia"/>
          <w:color w:val="000000"/>
          <w:kern w:val="0"/>
          <w:sz w:val="24"/>
          <w:szCs w:val="24"/>
        </w:rPr>
        <w:t xml:space="preserve">　　为加强汕头大学本科生课程成绩管理，建立科学、规范的学生课程成绩管理工作流程，根据《汕头大学课程考核管理办法》，结合我校实际情况，特制定本管理暂行规定。</w:t>
      </w:r>
    </w:p>
    <w:p w:rsidR="00746675" w:rsidRPr="00746675" w:rsidRDefault="00746675" w:rsidP="00746675">
      <w:pPr>
        <w:widowControl/>
        <w:snapToGrid w:val="0"/>
        <w:spacing w:line="360" w:lineRule="auto"/>
        <w:ind w:firstLineChars="200" w:firstLine="482"/>
        <w:jc w:val="left"/>
        <w:rPr>
          <w:rFonts w:ascii="宋体" w:eastAsia="宋体" w:hAnsi="宋体" w:cs="宋体"/>
          <w:kern w:val="0"/>
          <w:sz w:val="24"/>
          <w:szCs w:val="24"/>
        </w:rPr>
      </w:pPr>
      <w:r w:rsidRPr="00746675">
        <w:rPr>
          <w:rFonts w:ascii="宋体" w:eastAsia="宋体" w:hAnsi="宋体" w:cs="宋体" w:hint="eastAsia"/>
          <w:b/>
          <w:color w:val="000000"/>
          <w:kern w:val="0"/>
          <w:sz w:val="24"/>
          <w:szCs w:val="24"/>
        </w:rPr>
        <w:t>一、成绩的记载及管理</w:t>
      </w:r>
    </w:p>
    <w:p w:rsidR="00746675" w:rsidRPr="00746675" w:rsidRDefault="00746675" w:rsidP="00746675">
      <w:pPr>
        <w:widowControl/>
        <w:snapToGrid w:val="0"/>
        <w:spacing w:line="360" w:lineRule="auto"/>
        <w:ind w:firstLineChars="200" w:firstLine="480"/>
        <w:jc w:val="left"/>
        <w:rPr>
          <w:rFonts w:ascii="微软雅黑" w:eastAsia="微软雅黑" w:hAnsi="微软雅黑" w:cs="宋体"/>
          <w:kern w:val="0"/>
          <w:szCs w:val="21"/>
        </w:rPr>
      </w:pPr>
      <w:r w:rsidRPr="00746675">
        <w:rPr>
          <w:rFonts w:ascii="宋体" w:eastAsia="宋体" w:hAnsi="宋体" w:cs="宋体" w:hint="eastAsia"/>
          <w:color w:val="000000"/>
          <w:kern w:val="0"/>
          <w:sz w:val="24"/>
          <w:szCs w:val="24"/>
        </w:rPr>
        <w:t>（一） 课程总评成绩的记分可采用百分制,也可采用五级制。百分制与五级制对应为：</w:t>
      </w:r>
    </w:p>
    <w:p w:rsidR="00746675" w:rsidRPr="00746675" w:rsidRDefault="00746675" w:rsidP="00746675">
      <w:pPr>
        <w:widowControl/>
        <w:jc w:val="left"/>
        <w:rPr>
          <w:rFonts w:ascii="微软雅黑" w:eastAsia="微软雅黑" w:hAnsi="微软雅黑" w:cs="宋体"/>
          <w:kern w:val="0"/>
          <w:szCs w:val="21"/>
        </w:rPr>
        <w:sectPr w:rsidR="00746675" w:rsidRPr="00746675">
          <w:pgSz w:w="12240" w:h="15840"/>
          <w:pgMar w:top="1440" w:right="1800" w:bottom="1440" w:left="1800" w:header="720" w:footer="720" w:gutter="0"/>
          <w:cols w:space="720"/>
        </w:sectPr>
      </w:pPr>
    </w:p>
    <w:tbl>
      <w:tblPr>
        <w:tblW w:w="0" w:type="auto"/>
        <w:tblInd w:w="959"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559"/>
        <w:gridCol w:w="1742"/>
        <w:gridCol w:w="1660"/>
        <w:gridCol w:w="1701"/>
      </w:tblGrid>
      <w:tr w:rsidR="00746675" w:rsidRPr="00746675" w:rsidTr="00746675">
        <w:tc>
          <w:tcPr>
            <w:tcW w:w="1559" w:type="dxa"/>
            <w:tcBorders>
              <w:top w:val="single" w:sz="4" w:space="0" w:color="000000" w:themeColor="text1"/>
              <w:left w:val="single" w:sz="4" w:space="0" w:color="000000" w:themeColor="text1"/>
              <w:bottom w:val="single" w:sz="18" w:space="0" w:color="000000" w:themeColor="text1"/>
              <w:right w:val="single" w:sz="4" w:space="0" w:color="000000" w:themeColor="text1"/>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b/>
                <w:color w:val="000000"/>
                <w:spacing w:val="10"/>
                <w:kern w:val="0"/>
                <w:sz w:val="24"/>
                <w:szCs w:val="24"/>
              </w:rPr>
              <w:t>百分制</w:t>
            </w:r>
          </w:p>
        </w:tc>
        <w:tc>
          <w:tcPr>
            <w:tcW w:w="1742" w:type="dxa"/>
            <w:tcBorders>
              <w:top w:val="single" w:sz="4" w:space="0" w:color="000000" w:themeColor="text1"/>
              <w:left w:val="single" w:sz="4" w:space="0" w:color="000000" w:themeColor="text1"/>
              <w:bottom w:val="single" w:sz="18" w:space="0" w:color="auto"/>
              <w:right w:val="double" w:sz="4" w:space="0" w:color="auto"/>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b/>
                <w:color w:val="000000"/>
                <w:kern w:val="0"/>
                <w:sz w:val="24"/>
                <w:szCs w:val="24"/>
              </w:rPr>
              <w:t>五级制</w:t>
            </w:r>
          </w:p>
        </w:tc>
        <w:tc>
          <w:tcPr>
            <w:tcW w:w="1660" w:type="dxa"/>
            <w:tcBorders>
              <w:top w:val="single" w:sz="4" w:space="0" w:color="000000" w:themeColor="text1"/>
              <w:left w:val="double" w:sz="4" w:space="0" w:color="auto"/>
              <w:bottom w:val="single" w:sz="18" w:space="0" w:color="auto"/>
              <w:right w:val="single" w:sz="4" w:space="0" w:color="000000" w:themeColor="text1"/>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b/>
                <w:color w:val="000000"/>
                <w:kern w:val="0"/>
                <w:sz w:val="24"/>
                <w:szCs w:val="24"/>
              </w:rPr>
              <w:t>五级制</w:t>
            </w:r>
          </w:p>
        </w:tc>
        <w:tc>
          <w:tcPr>
            <w:tcW w:w="1701" w:type="dxa"/>
            <w:tcBorders>
              <w:top w:val="single" w:sz="4" w:space="0" w:color="000000" w:themeColor="text1"/>
              <w:left w:val="single" w:sz="4" w:space="0" w:color="000000" w:themeColor="text1"/>
              <w:bottom w:val="single" w:sz="18" w:space="0" w:color="000000" w:themeColor="text1"/>
              <w:right w:val="single" w:sz="4" w:space="0" w:color="000000" w:themeColor="text1"/>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b/>
                <w:color w:val="000000"/>
                <w:spacing w:val="10"/>
                <w:kern w:val="0"/>
                <w:sz w:val="24"/>
                <w:szCs w:val="24"/>
              </w:rPr>
              <w:t>百分制</w:t>
            </w:r>
          </w:p>
        </w:tc>
      </w:tr>
      <w:tr w:rsidR="00746675" w:rsidRPr="00746675" w:rsidTr="00746675">
        <w:tc>
          <w:tcPr>
            <w:tcW w:w="1559" w:type="dxa"/>
            <w:tcBorders>
              <w:top w:val="single" w:sz="18"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color w:val="000000"/>
                <w:spacing w:val="10"/>
                <w:kern w:val="0"/>
                <w:sz w:val="24"/>
                <w:szCs w:val="24"/>
              </w:rPr>
              <w:t>90-100</w:t>
            </w:r>
          </w:p>
        </w:tc>
        <w:tc>
          <w:tcPr>
            <w:tcW w:w="1742" w:type="dxa"/>
            <w:tcBorders>
              <w:top w:val="single" w:sz="18" w:space="0" w:color="auto"/>
              <w:left w:val="single" w:sz="4" w:space="0" w:color="000000" w:themeColor="text1"/>
              <w:bottom w:val="single" w:sz="4" w:space="0" w:color="000000" w:themeColor="text1"/>
              <w:right w:val="double" w:sz="4" w:space="0" w:color="auto"/>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color w:val="000000"/>
                <w:kern w:val="0"/>
                <w:sz w:val="24"/>
                <w:szCs w:val="24"/>
              </w:rPr>
              <w:t>优秀（A）</w:t>
            </w:r>
          </w:p>
        </w:tc>
        <w:tc>
          <w:tcPr>
            <w:tcW w:w="1660" w:type="dxa"/>
            <w:tcBorders>
              <w:top w:val="single" w:sz="18" w:space="0" w:color="auto"/>
              <w:left w:val="double" w:sz="4" w:space="0" w:color="auto"/>
              <w:bottom w:val="single" w:sz="4" w:space="0" w:color="000000" w:themeColor="text1"/>
              <w:right w:val="single" w:sz="4" w:space="0" w:color="000000" w:themeColor="text1"/>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color w:val="000000"/>
                <w:kern w:val="0"/>
                <w:sz w:val="24"/>
                <w:szCs w:val="24"/>
              </w:rPr>
              <w:t>优秀（A）</w:t>
            </w:r>
          </w:p>
        </w:tc>
        <w:tc>
          <w:tcPr>
            <w:tcW w:w="1701" w:type="dxa"/>
            <w:tcBorders>
              <w:top w:val="single" w:sz="18"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color w:val="000000"/>
                <w:kern w:val="0"/>
                <w:sz w:val="24"/>
                <w:szCs w:val="24"/>
              </w:rPr>
              <w:t>95</w:t>
            </w:r>
          </w:p>
        </w:tc>
      </w:tr>
      <w:tr w:rsidR="00746675" w:rsidRPr="00746675" w:rsidTr="00746675">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color w:val="000000"/>
                <w:spacing w:val="10"/>
                <w:kern w:val="0"/>
                <w:sz w:val="24"/>
                <w:szCs w:val="24"/>
              </w:rPr>
              <w:t>80-89</w:t>
            </w:r>
          </w:p>
        </w:tc>
        <w:tc>
          <w:tcPr>
            <w:tcW w:w="1742"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color w:val="000000"/>
                <w:kern w:val="0"/>
                <w:sz w:val="24"/>
                <w:szCs w:val="24"/>
              </w:rPr>
              <w:t>良好（B）</w:t>
            </w:r>
          </w:p>
        </w:tc>
        <w:tc>
          <w:tcPr>
            <w:tcW w:w="1660" w:type="dxa"/>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color w:val="000000"/>
                <w:kern w:val="0"/>
                <w:sz w:val="24"/>
                <w:szCs w:val="24"/>
              </w:rPr>
              <w:t>良好（B）</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color w:val="000000"/>
                <w:kern w:val="0"/>
                <w:sz w:val="24"/>
                <w:szCs w:val="24"/>
              </w:rPr>
              <w:t>85</w:t>
            </w:r>
          </w:p>
        </w:tc>
      </w:tr>
      <w:tr w:rsidR="00746675" w:rsidRPr="00746675" w:rsidTr="00746675">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color w:val="000000"/>
                <w:spacing w:val="10"/>
                <w:kern w:val="0"/>
                <w:sz w:val="24"/>
                <w:szCs w:val="24"/>
              </w:rPr>
              <w:t>70-79</w:t>
            </w:r>
          </w:p>
        </w:tc>
        <w:tc>
          <w:tcPr>
            <w:tcW w:w="1742"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color w:val="000000"/>
                <w:kern w:val="0"/>
                <w:sz w:val="24"/>
                <w:szCs w:val="24"/>
              </w:rPr>
              <w:t>中等（C）</w:t>
            </w:r>
          </w:p>
        </w:tc>
        <w:tc>
          <w:tcPr>
            <w:tcW w:w="1660" w:type="dxa"/>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color w:val="000000"/>
                <w:kern w:val="0"/>
                <w:sz w:val="24"/>
                <w:szCs w:val="24"/>
              </w:rPr>
              <w:t>中等（C）</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color w:val="000000"/>
                <w:kern w:val="0"/>
                <w:sz w:val="24"/>
                <w:szCs w:val="24"/>
              </w:rPr>
              <w:t>75</w:t>
            </w:r>
          </w:p>
        </w:tc>
      </w:tr>
      <w:tr w:rsidR="00746675" w:rsidRPr="00746675" w:rsidTr="00746675">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color w:val="000000"/>
                <w:spacing w:val="10"/>
                <w:kern w:val="0"/>
                <w:sz w:val="24"/>
                <w:szCs w:val="24"/>
              </w:rPr>
              <w:t>60-69</w:t>
            </w:r>
          </w:p>
        </w:tc>
        <w:tc>
          <w:tcPr>
            <w:tcW w:w="1742"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color w:val="000000"/>
                <w:kern w:val="0"/>
                <w:sz w:val="24"/>
                <w:szCs w:val="24"/>
              </w:rPr>
              <w:t>及格（D）</w:t>
            </w:r>
          </w:p>
        </w:tc>
        <w:tc>
          <w:tcPr>
            <w:tcW w:w="1660" w:type="dxa"/>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color w:val="000000"/>
                <w:kern w:val="0"/>
                <w:sz w:val="24"/>
                <w:szCs w:val="24"/>
              </w:rPr>
              <w:t>及格（D）</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color w:val="000000"/>
                <w:kern w:val="0"/>
                <w:sz w:val="24"/>
                <w:szCs w:val="24"/>
              </w:rPr>
              <w:t>65</w:t>
            </w:r>
          </w:p>
        </w:tc>
      </w:tr>
      <w:tr w:rsidR="00746675" w:rsidRPr="00746675" w:rsidTr="00746675">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color w:val="000000"/>
                <w:spacing w:val="10"/>
                <w:kern w:val="0"/>
                <w:sz w:val="24"/>
                <w:szCs w:val="24"/>
              </w:rPr>
              <w:t>＜60</w:t>
            </w:r>
          </w:p>
        </w:tc>
        <w:tc>
          <w:tcPr>
            <w:tcW w:w="1742"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color w:val="000000"/>
                <w:kern w:val="0"/>
                <w:sz w:val="24"/>
                <w:szCs w:val="24"/>
              </w:rPr>
              <w:t>不及格（F）</w:t>
            </w:r>
          </w:p>
        </w:tc>
        <w:tc>
          <w:tcPr>
            <w:tcW w:w="1660" w:type="dxa"/>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color w:val="000000"/>
                <w:kern w:val="0"/>
                <w:sz w:val="24"/>
                <w:szCs w:val="24"/>
              </w:rPr>
              <w:t>不及格（F）</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color w:val="000000"/>
                <w:kern w:val="0"/>
                <w:sz w:val="24"/>
                <w:szCs w:val="24"/>
              </w:rPr>
              <w:t>50</w:t>
            </w:r>
          </w:p>
        </w:tc>
      </w:tr>
    </w:tbl>
    <w:p w:rsidR="00746675" w:rsidRDefault="00746675" w:rsidP="00746675">
      <w:pPr>
        <w:widowControl/>
        <w:snapToGrid w:val="0"/>
        <w:spacing w:line="360" w:lineRule="auto"/>
        <w:ind w:firstLineChars="200" w:firstLine="520"/>
        <w:jc w:val="left"/>
        <w:rPr>
          <w:rFonts w:ascii="宋体" w:eastAsia="宋体" w:hAnsi="宋体" w:cs="宋体"/>
          <w:color w:val="000000"/>
          <w:spacing w:val="10"/>
          <w:kern w:val="0"/>
          <w:sz w:val="24"/>
          <w:szCs w:val="24"/>
        </w:rPr>
      </w:pPr>
      <w:r w:rsidRPr="00746675">
        <w:rPr>
          <w:rFonts w:ascii="宋体" w:eastAsia="宋体" w:hAnsi="宋体" w:cs="宋体" w:hint="eastAsia"/>
          <w:color w:val="000000"/>
          <w:spacing w:val="10"/>
          <w:kern w:val="0"/>
          <w:sz w:val="24"/>
          <w:szCs w:val="24"/>
        </w:rPr>
        <w:t> </w:t>
      </w:r>
    </w:p>
    <w:p w:rsidR="003E7A11" w:rsidRPr="00746675" w:rsidRDefault="003E7A11" w:rsidP="00746675">
      <w:pPr>
        <w:widowControl/>
        <w:snapToGrid w:val="0"/>
        <w:spacing w:line="360" w:lineRule="auto"/>
        <w:ind w:firstLineChars="200" w:firstLine="480"/>
        <w:jc w:val="left"/>
        <w:rPr>
          <w:rFonts w:ascii="宋体" w:eastAsia="宋体" w:hAnsi="宋体" w:cs="宋体"/>
          <w:kern w:val="0"/>
          <w:sz w:val="24"/>
          <w:szCs w:val="24"/>
        </w:rPr>
      </w:pPr>
    </w:p>
    <w:p w:rsidR="00746675" w:rsidRPr="00746675" w:rsidRDefault="00746675" w:rsidP="00746675">
      <w:pPr>
        <w:widowControl/>
        <w:snapToGrid w:val="0"/>
        <w:spacing w:line="360" w:lineRule="auto"/>
        <w:ind w:firstLineChars="200" w:firstLine="520"/>
        <w:jc w:val="left"/>
        <w:rPr>
          <w:rFonts w:ascii="宋体" w:eastAsia="宋体" w:hAnsi="宋体" w:cs="宋体"/>
          <w:kern w:val="0"/>
          <w:sz w:val="24"/>
          <w:szCs w:val="24"/>
        </w:rPr>
      </w:pPr>
      <w:r w:rsidRPr="00746675">
        <w:rPr>
          <w:rFonts w:ascii="宋体" w:eastAsia="宋体" w:hAnsi="宋体" w:cs="宋体" w:hint="eastAsia"/>
          <w:color w:val="000000"/>
          <w:spacing w:val="10"/>
          <w:kern w:val="0"/>
          <w:sz w:val="24"/>
          <w:szCs w:val="24"/>
        </w:rPr>
        <w:t>（二）汕头大学平均学分绩点计算方法为：</w:t>
      </w:r>
    </w:p>
    <w:p w:rsidR="00746675" w:rsidRDefault="00746675" w:rsidP="00746675">
      <w:pPr>
        <w:widowControl/>
        <w:snapToGrid w:val="0"/>
        <w:spacing w:line="360" w:lineRule="auto"/>
        <w:ind w:firstLineChars="200" w:firstLine="520"/>
        <w:jc w:val="left"/>
        <w:rPr>
          <w:rFonts w:ascii="宋体" w:eastAsia="宋体" w:hAnsi="宋体" w:cs="宋体"/>
          <w:color w:val="000000"/>
          <w:spacing w:val="10"/>
          <w:kern w:val="0"/>
          <w:sz w:val="24"/>
          <w:szCs w:val="24"/>
        </w:rPr>
      </w:pPr>
      <w:r w:rsidRPr="00746675">
        <w:rPr>
          <w:rFonts w:ascii="宋体" w:eastAsia="宋体" w:hAnsi="宋体" w:cs="宋体" w:hint="eastAsia"/>
          <w:color w:val="000000"/>
          <w:spacing w:val="10"/>
          <w:kern w:val="0"/>
          <w:sz w:val="24"/>
          <w:szCs w:val="24"/>
        </w:rPr>
        <w:t>1.课程绩点：课程绩点是1门课程的成绩系数。课程成绩与课程绩点的对应关系如下表：</w:t>
      </w:r>
    </w:p>
    <w:p w:rsidR="003E7A11" w:rsidRPr="00746675" w:rsidRDefault="003E7A11" w:rsidP="00746675">
      <w:pPr>
        <w:widowControl/>
        <w:snapToGrid w:val="0"/>
        <w:spacing w:line="360" w:lineRule="auto"/>
        <w:ind w:firstLineChars="200" w:firstLine="480"/>
        <w:jc w:val="left"/>
        <w:rPr>
          <w:rFonts w:ascii="宋体" w:eastAsia="宋体" w:hAnsi="宋体" w:cs="宋体"/>
          <w:kern w:val="0"/>
          <w:sz w:val="24"/>
          <w:szCs w:val="24"/>
        </w:rPr>
      </w:pPr>
    </w:p>
    <w:tbl>
      <w:tblPr>
        <w:tblW w:w="0" w:type="auto"/>
        <w:tblInd w:w="959"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559"/>
        <w:gridCol w:w="1742"/>
        <w:gridCol w:w="1660"/>
        <w:gridCol w:w="1701"/>
      </w:tblGrid>
      <w:tr w:rsidR="00746675" w:rsidRPr="00746675" w:rsidTr="00746675">
        <w:tc>
          <w:tcPr>
            <w:tcW w:w="1559" w:type="dxa"/>
            <w:tcBorders>
              <w:top w:val="single" w:sz="4" w:space="0" w:color="000000" w:themeColor="text1"/>
              <w:left w:val="single" w:sz="4" w:space="0" w:color="000000" w:themeColor="text1"/>
              <w:bottom w:val="single" w:sz="18" w:space="0" w:color="000000" w:themeColor="text1"/>
              <w:right w:val="single" w:sz="4" w:space="0" w:color="000000" w:themeColor="text1"/>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b/>
                <w:color w:val="000000"/>
                <w:spacing w:val="10"/>
                <w:kern w:val="0"/>
                <w:sz w:val="24"/>
                <w:szCs w:val="24"/>
              </w:rPr>
              <w:t>5级记分制</w:t>
            </w:r>
          </w:p>
        </w:tc>
        <w:tc>
          <w:tcPr>
            <w:tcW w:w="1742" w:type="dxa"/>
            <w:tcBorders>
              <w:top w:val="single" w:sz="4" w:space="0" w:color="000000" w:themeColor="text1"/>
              <w:left w:val="single" w:sz="4" w:space="0" w:color="000000" w:themeColor="text1"/>
              <w:bottom w:val="single" w:sz="18" w:space="0" w:color="auto"/>
              <w:right w:val="double" w:sz="4" w:space="0" w:color="auto"/>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b/>
                <w:color w:val="000000"/>
                <w:spacing w:val="10"/>
                <w:kern w:val="0"/>
                <w:sz w:val="24"/>
                <w:szCs w:val="24"/>
              </w:rPr>
              <w:t>课程绩点数</w:t>
            </w:r>
          </w:p>
        </w:tc>
        <w:tc>
          <w:tcPr>
            <w:tcW w:w="1660" w:type="dxa"/>
            <w:tcBorders>
              <w:top w:val="single" w:sz="4" w:space="0" w:color="000000" w:themeColor="text1"/>
              <w:left w:val="double" w:sz="4" w:space="0" w:color="auto"/>
              <w:bottom w:val="single" w:sz="18" w:space="0" w:color="auto"/>
              <w:right w:val="single" w:sz="4" w:space="0" w:color="000000" w:themeColor="text1"/>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b/>
                <w:color w:val="000000"/>
                <w:spacing w:val="10"/>
                <w:kern w:val="0"/>
                <w:sz w:val="24"/>
                <w:szCs w:val="24"/>
              </w:rPr>
              <w:t>百分制</w:t>
            </w:r>
          </w:p>
        </w:tc>
        <w:tc>
          <w:tcPr>
            <w:tcW w:w="1701" w:type="dxa"/>
            <w:tcBorders>
              <w:top w:val="single" w:sz="4" w:space="0" w:color="000000" w:themeColor="text1"/>
              <w:left w:val="single" w:sz="4" w:space="0" w:color="000000" w:themeColor="text1"/>
              <w:bottom w:val="single" w:sz="18" w:space="0" w:color="000000" w:themeColor="text1"/>
              <w:right w:val="single" w:sz="4" w:space="0" w:color="000000" w:themeColor="text1"/>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b/>
                <w:color w:val="000000"/>
                <w:spacing w:val="10"/>
                <w:kern w:val="0"/>
                <w:sz w:val="24"/>
                <w:szCs w:val="24"/>
              </w:rPr>
              <w:t>课程绩点数</w:t>
            </w:r>
          </w:p>
        </w:tc>
      </w:tr>
      <w:tr w:rsidR="00746675" w:rsidRPr="00746675" w:rsidTr="00746675">
        <w:tc>
          <w:tcPr>
            <w:tcW w:w="1559" w:type="dxa"/>
            <w:tcBorders>
              <w:top w:val="single" w:sz="18"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color w:val="000000"/>
                <w:spacing w:val="10"/>
                <w:kern w:val="0"/>
                <w:sz w:val="24"/>
                <w:szCs w:val="24"/>
              </w:rPr>
              <w:lastRenderedPageBreak/>
              <w:t>优秀（A）</w:t>
            </w:r>
          </w:p>
        </w:tc>
        <w:tc>
          <w:tcPr>
            <w:tcW w:w="1742" w:type="dxa"/>
            <w:tcBorders>
              <w:top w:val="single" w:sz="18" w:space="0" w:color="auto"/>
              <w:left w:val="single" w:sz="4" w:space="0" w:color="000000" w:themeColor="text1"/>
              <w:bottom w:val="single" w:sz="4" w:space="0" w:color="000000" w:themeColor="text1"/>
              <w:right w:val="double" w:sz="4" w:space="0" w:color="auto"/>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color w:val="000000"/>
                <w:spacing w:val="10"/>
                <w:kern w:val="0"/>
                <w:sz w:val="24"/>
                <w:szCs w:val="24"/>
              </w:rPr>
              <w:t>4.5</w:t>
            </w:r>
          </w:p>
        </w:tc>
        <w:tc>
          <w:tcPr>
            <w:tcW w:w="1660" w:type="dxa"/>
            <w:tcBorders>
              <w:top w:val="single" w:sz="18" w:space="0" w:color="auto"/>
              <w:left w:val="double" w:sz="4" w:space="0" w:color="auto"/>
              <w:bottom w:val="single" w:sz="4" w:space="0" w:color="000000" w:themeColor="text1"/>
              <w:right w:val="single" w:sz="4" w:space="0" w:color="000000" w:themeColor="text1"/>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color w:val="000000"/>
                <w:spacing w:val="10"/>
                <w:kern w:val="0"/>
                <w:sz w:val="24"/>
                <w:szCs w:val="24"/>
              </w:rPr>
              <w:t>90-100</w:t>
            </w:r>
          </w:p>
        </w:tc>
        <w:tc>
          <w:tcPr>
            <w:tcW w:w="1701" w:type="dxa"/>
            <w:tcBorders>
              <w:top w:val="single" w:sz="18"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color w:val="000000"/>
                <w:spacing w:val="10"/>
                <w:kern w:val="0"/>
                <w:sz w:val="24"/>
                <w:szCs w:val="24"/>
              </w:rPr>
              <w:t>4.0～5</w:t>
            </w:r>
          </w:p>
        </w:tc>
      </w:tr>
      <w:tr w:rsidR="00746675" w:rsidRPr="00746675" w:rsidTr="00746675">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color w:val="000000"/>
                <w:spacing w:val="10"/>
                <w:kern w:val="0"/>
                <w:sz w:val="24"/>
                <w:szCs w:val="24"/>
              </w:rPr>
              <w:t>良好（B）</w:t>
            </w:r>
          </w:p>
        </w:tc>
        <w:tc>
          <w:tcPr>
            <w:tcW w:w="1742"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color w:val="000000"/>
                <w:spacing w:val="10"/>
                <w:kern w:val="0"/>
                <w:sz w:val="24"/>
                <w:szCs w:val="24"/>
              </w:rPr>
              <w:t>3.5</w:t>
            </w:r>
          </w:p>
        </w:tc>
        <w:tc>
          <w:tcPr>
            <w:tcW w:w="1660" w:type="dxa"/>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color w:val="000000"/>
                <w:spacing w:val="10"/>
                <w:kern w:val="0"/>
                <w:sz w:val="24"/>
                <w:szCs w:val="24"/>
              </w:rPr>
              <w:t>80-89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color w:val="000000"/>
                <w:spacing w:val="10"/>
                <w:kern w:val="0"/>
                <w:sz w:val="24"/>
                <w:szCs w:val="24"/>
              </w:rPr>
              <w:t>3.0～3.9</w:t>
            </w:r>
          </w:p>
        </w:tc>
      </w:tr>
      <w:tr w:rsidR="00746675" w:rsidRPr="00746675" w:rsidTr="00746675">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color w:val="000000"/>
                <w:spacing w:val="10"/>
                <w:kern w:val="0"/>
                <w:sz w:val="24"/>
                <w:szCs w:val="24"/>
              </w:rPr>
              <w:t>中等（C）</w:t>
            </w:r>
          </w:p>
        </w:tc>
        <w:tc>
          <w:tcPr>
            <w:tcW w:w="1742"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color w:val="000000"/>
                <w:spacing w:val="10"/>
                <w:kern w:val="0"/>
                <w:sz w:val="24"/>
                <w:szCs w:val="24"/>
              </w:rPr>
              <w:t>2.5</w:t>
            </w:r>
          </w:p>
        </w:tc>
        <w:tc>
          <w:tcPr>
            <w:tcW w:w="1660" w:type="dxa"/>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color w:val="000000"/>
                <w:spacing w:val="10"/>
                <w:kern w:val="0"/>
                <w:sz w:val="24"/>
                <w:szCs w:val="24"/>
              </w:rPr>
              <w:t>70-79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color w:val="000000"/>
                <w:spacing w:val="10"/>
                <w:kern w:val="0"/>
                <w:sz w:val="24"/>
                <w:szCs w:val="24"/>
              </w:rPr>
              <w:t>2.0～2.9</w:t>
            </w:r>
          </w:p>
        </w:tc>
      </w:tr>
      <w:tr w:rsidR="00746675" w:rsidRPr="00746675" w:rsidTr="00746675">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color w:val="000000"/>
                <w:spacing w:val="10"/>
                <w:kern w:val="0"/>
                <w:sz w:val="24"/>
                <w:szCs w:val="24"/>
              </w:rPr>
              <w:t>及格（D）</w:t>
            </w:r>
          </w:p>
        </w:tc>
        <w:tc>
          <w:tcPr>
            <w:tcW w:w="1742"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color w:val="000000"/>
                <w:spacing w:val="10"/>
                <w:kern w:val="0"/>
                <w:sz w:val="24"/>
                <w:szCs w:val="24"/>
              </w:rPr>
              <w:t>1.5</w:t>
            </w:r>
          </w:p>
        </w:tc>
        <w:tc>
          <w:tcPr>
            <w:tcW w:w="1660" w:type="dxa"/>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color w:val="000000"/>
                <w:spacing w:val="10"/>
                <w:kern w:val="0"/>
                <w:sz w:val="24"/>
                <w:szCs w:val="24"/>
              </w:rPr>
              <w:t>60-69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color w:val="000000"/>
                <w:spacing w:val="10"/>
                <w:kern w:val="0"/>
                <w:sz w:val="24"/>
                <w:szCs w:val="24"/>
              </w:rPr>
              <w:t>1.0～1.9</w:t>
            </w:r>
          </w:p>
        </w:tc>
      </w:tr>
      <w:tr w:rsidR="00746675" w:rsidRPr="00746675" w:rsidTr="00746675">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color w:val="000000"/>
                <w:spacing w:val="10"/>
                <w:kern w:val="0"/>
                <w:sz w:val="24"/>
                <w:szCs w:val="24"/>
              </w:rPr>
              <w:t>不及格（F）</w:t>
            </w:r>
          </w:p>
        </w:tc>
        <w:tc>
          <w:tcPr>
            <w:tcW w:w="1742"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color w:val="000000"/>
                <w:spacing w:val="10"/>
                <w:kern w:val="0"/>
                <w:sz w:val="24"/>
                <w:szCs w:val="24"/>
              </w:rPr>
              <w:t>0</w:t>
            </w:r>
          </w:p>
        </w:tc>
        <w:tc>
          <w:tcPr>
            <w:tcW w:w="1660" w:type="dxa"/>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color w:val="000000"/>
                <w:spacing w:val="10"/>
                <w:kern w:val="0"/>
                <w:sz w:val="24"/>
                <w:szCs w:val="24"/>
              </w:rPr>
              <w:t>＜60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746675" w:rsidRPr="00746675" w:rsidRDefault="00746675" w:rsidP="00746675">
            <w:pPr>
              <w:widowControl/>
              <w:spacing w:line="360" w:lineRule="auto"/>
              <w:jc w:val="center"/>
              <w:rPr>
                <w:rFonts w:ascii="宋体" w:eastAsia="宋体" w:hAnsi="宋体" w:cs="宋体"/>
                <w:kern w:val="0"/>
                <w:sz w:val="24"/>
                <w:szCs w:val="24"/>
              </w:rPr>
            </w:pPr>
            <w:r w:rsidRPr="00746675">
              <w:rPr>
                <w:rFonts w:ascii="宋体" w:eastAsia="宋体" w:hAnsi="宋体" w:cs="宋体" w:hint="eastAsia"/>
                <w:color w:val="000000"/>
                <w:spacing w:val="10"/>
                <w:kern w:val="0"/>
                <w:sz w:val="24"/>
                <w:szCs w:val="24"/>
              </w:rPr>
              <w:t>0</w:t>
            </w:r>
          </w:p>
        </w:tc>
      </w:tr>
    </w:tbl>
    <w:p w:rsidR="00746675" w:rsidRPr="00746675" w:rsidRDefault="00746675" w:rsidP="00746675">
      <w:pPr>
        <w:widowControl/>
        <w:snapToGrid w:val="0"/>
        <w:jc w:val="left"/>
        <w:rPr>
          <w:rFonts w:ascii="微软雅黑" w:eastAsia="微软雅黑" w:hAnsi="微软雅黑" w:cs="宋体"/>
          <w:kern w:val="0"/>
          <w:szCs w:val="21"/>
        </w:rPr>
      </w:pPr>
      <w:r w:rsidRPr="00746675">
        <w:rPr>
          <w:rFonts w:ascii="微软雅黑" w:eastAsia="微软雅黑" w:hAnsi="微软雅黑" w:cs="宋体" w:hint="eastAsia"/>
          <w:kern w:val="0"/>
          <w:szCs w:val="21"/>
        </w:rPr>
        <w:t> </w:t>
      </w:r>
    </w:p>
    <w:p w:rsidR="00746675" w:rsidRPr="00746675" w:rsidRDefault="00746675" w:rsidP="00746675">
      <w:pPr>
        <w:widowControl/>
        <w:snapToGrid w:val="0"/>
        <w:spacing w:line="360" w:lineRule="auto"/>
        <w:ind w:firstLineChars="200" w:firstLine="520"/>
        <w:jc w:val="left"/>
        <w:rPr>
          <w:rFonts w:ascii="宋体" w:eastAsia="宋体" w:hAnsi="宋体" w:cs="宋体"/>
          <w:kern w:val="0"/>
          <w:sz w:val="24"/>
          <w:szCs w:val="24"/>
        </w:rPr>
      </w:pPr>
      <w:r w:rsidRPr="00746675">
        <w:rPr>
          <w:rFonts w:ascii="宋体" w:eastAsia="宋体" w:hAnsi="宋体" w:cs="宋体" w:hint="eastAsia"/>
          <w:color w:val="000000"/>
          <w:spacing w:val="10"/>
          <w:kern w:val="0"/>
          <w:sz w:val="24"/>
          <w:szCs w:val="24"/>
        </w:rPr>
        <w:t>2.课程学分绩点＝课程绩点×该课程的学分数。</w:t>
      </w:r>
    </w:p>
    <w:p w:rsidR="00746675" w:rsidRPr="00746675" w:rsidRDefault="00746675" w:rsidP="00746675">
      <w:pPr>
        <w:widowControl/>
        <w:snapToGrid w:val="0"/>
        <w:spacing w:line="360" w:lineRule="auto"/>
        <w:ind w:firstLineChars="200" w:firstLine="520"/>
        <w:jc w:val="left"/>
        <w:rPr>
          <w:rFonts w:ascii="宋体" w:eastAsia="宋体" w:hAnsi="宋体" w:cs="宋体"/>
          <w:kern w:val="0"/>
          <w:sz w:val="24"/>
          <w:szCs w:val="24"/>
        </w:rPr>
      </w:pPr>
      <w:r w:rsidRPr="00746675">
        <w:rPr>
          <w:rFonts w:ascii="宋体" w:eastAsia="宋体" w:hAnsi="宋体" w:cs="宋体" w:hint="eastAsia"/>
          <w:color w:val="000000"/>
          <w:spacing w:val="10"/>
          <w:kern w:val="0"/>
          <w:sz w:val="24"/>
          <w:szCs w:val="24"/>
        </w:rPr>
        <w:t>3.平均学分绩点（GPA）＝各门课程学分绩点之和÷各门课程学分之和。</w:t>
      </w:r>
    </w:p>
    <w:p w:rsidR="00746675" w:rsidRPr="00746675" w:rsidRDefault="00746675" w:rsidP="00746675">
      <w:pPr>
        <w:widowControl/>
        <w:snapToGrid w:val="0"/>
        <w:spacing w:line="360" w:lineRule="auto"/>
        <w:ind w:firstLineChars="200" w:firstLine="520"/>
        <w:jc w:val="left"/>
        <w:rPr>
          <w:rFonts w:ascii="宋体" w:eastAsia="宋体" w:hAnsi="宋体" w:cs="宋体"/>
          <w:kern w:val="0"/>
          <w:sz w:val="24"/>
          <w:szCs w:val="24"/>
        </w:rPr>
      </w:pPr>
      <w:r w:rsidRPr="00746675">
        <w:rPr>
          <w:rFonts w:ascii="宋体" w:eastAsia="宋体" w:hAnsi="宋体" w:cs="宋体" w:hint="eastAsia"/>
          <w:color w:val="000000"/>
          <w:spacing w:val="10"/>
          <w:kern w:val="0"/>
          <w:sz w:val="24"/>
          <w:szCs w:val="24"/>
        </w:rPr>
        <w:t>（三）任课教师要在课程考核（含缓考课程）结束后三天内（选课人数较多的课程可在一周内）评完试卷及评定学生成绩，通过学分制系统录入、提交、打印学生成绩单并签名，交所在单位教务员。</w:t>
      </w:r>
    </w:p>
    <w:p w:rsidR="00746675" w:rsidRPr="00746675" w:rsidRDefault="00746675" w:rsidP="00746675">
      <w:pPr>
        <w:widowControl/>
        <w:snapToGrid w:val="0"/>
        <w:spacing w:line="360" w:lineRule="auto"/>
        <w:ind w:firstLineChars="200" w:firstLine="520"/>
        <w:jc w:val="left"/>
        <w:rPr>
          <w:rFonts w:ascii="宋体" w:eastAsia="宋体" w:hAnsi="宋体" w:cs="宋体"/>
          <w:kern w:val="0"/>
          <w:sz w:val="24"/>
          <w:szCs w:val="24"/>
        </w:rPr>
      </w:pPr>
      <w:r w:rsidRPr="00746675">
        <w:rPr>
          <w:rFonts w:ascii="宋体" w:eastAsia="宋体" w:hAnsi="宋体" w:cs="宋体" w:hint="eastAsia"/>
          <w:color w:val="000000"/>
          <w:spacing w:val="10"/>
          <w:kern w:val="0"/>
          <w:sz w:val="24"/>
          <w:szCs w:val="24"/>
        </w:rPr>
        <w:t>因特殊原因不能按时提交成绩的任课教师，应提前向系院提出书面申请，阐明原由和预计提交成绩的时间（从考试之日起最多不超过两周），经学院主管教学院长批准签字后，报教务处学务科备案。</w:t>
      </w:r>
    </w:p>
    <w:p w:rsidR="00746675" w:rsidRPr="00746675" w:rsidRDefault="00746675" w:rsidP="00746675">
      <w:pPr>
        <w:widowControl/>
        <w:snapToGrid w:val="0"/>
        <w:spacing w:line="360" w:lineRule="auto"/>
        <w:ind w:firstLineChars="200" w:firstLine="520"/>
        <w:jc w:val="left"/>
        <w:rPr>
          <w:rFonts w:ascii="宋体" w:eastAsia="宋体" w:hAnsi="宋体" w:cs="宋体"/>
          <w:kern w:val="0"/>
          <w:sz w:val="24"/>
          <w:szCs w:val="24"/>
        </w:rPr>
      </w:pPr>
      <w:r w:rsidRPr="00746675">
        <w:rPr>
          <w:rFonts w:ascii="宋体" w:eastAsia="宋体" w:hAnsi="宋体" w:cs="宋体" w:hint="eastAsia"/>
          <w:color w:val="000000"/>
          <w:spacing w:val="10"/>
          <w:kern w:val="0"/>
          <w:sz w:val="24"/>
          <w:szCs w:val="24"/>
        </w:rPr>
        <w:t>（四）每学期（含夏季学期）结束后的第5周，学分制系统将关闭本学期成绩录入及发布功能。</w:t>
      </w:r>
    </w:p>
    <w:p w:rsidR="00746675" w:rsidRPr="00746675" w:rsidRDefault="00746675" w:rsidP="00746675">
      <w:pPr>
        <w:widowControl/>
        <w:snapToGrid w:val="0"/>
        <w:spacing w:line="360" w:lineRule="auto"/>
        <w:ind w:firstLineChars="200" w:firstLine="520"/>
        <w:jc w:val="left"/>
        <w:rPr>
          <w:rFonts w:ascii="宋体" w:eastAsia="宋体" w:hAnsi="宋体" w:cs="宋体"/>
          <w:kern w:val="0"/>
          <w:sz w:val="24"/>
          <w:szCs w:val="24"/>
        </w:rPr>
      </w:pPr>
      <w:r w:rsidRPr="00746675">
        <w:rPr>
          <w:rFonts w:ascii="宋体" w:eastAsia="宋体" w:hAnsi="宋体" w:cs="宋体" w:hint="eastAsia"/>
          <w:color w:val="000000"/>
          <w:spacing w:val="10"/>
          <w:kern w:val="0"/>
          <w:sz w:val="24"/>
          <w:szCs w:val="24"/>
        </w:rPr>
        <w:t>（五）装订成册的试卷材料应以教学档案的形式由开课单位统一保存和管理，六年后方可销毁；学生成绩单以学期为单位，装订存档为永久保存。</w:t>
      </w:r>
    </w:p>
    <w:p w:rsidR="00746675" w:rsidRPr="00746675" w:rsidRDefault="00746675" w:rsidP="00746675">
      <w:pPr>
        <w:widowControl/>
        <w:snapToGrid w:val="0"/>
        <w:spacing w:line="360" w:lineRule="auto"/>
        <w:ind w:firstLineChars="200" w:firstLine="482"/>
        <w:jc w:val="left"/>
        <w:rPr>
          <w:rFonts w:ascii="宋体" w:eastAsia="宋体" w:hAnsi="宋体" w:cs="宋体"/>
          <w:kern w:val="0"/>
          <w:sz w:val="24"/>
          <w:szCs w:val="24"/>
        </w:rPr>
      </w:pPr>
      <w:r w:rsidRPr="00746675">
        <w:rPr>
          <w:rFonts w:ascii="宋体" w:eastAsia="宋体" w:hAnsi="宋体" w:cs="宋体" w:hint="eastAsia"/>
          <w:b/>
          <w:color w:val="000000"/>
          <w:kern w:val="0"/>
          <w:sz w:val="24"/>
          <w:szCs w:val="24"/>
        </w:rPr>
        <w:t>二、成绩的发布</w:t>
      </w:r>
    </w:p>
    <w:p w:rsidR="00746675" w:rsidRPr="00746675" w:rsidRDefault="00746675" w:rsidP="00746675">
      <w:pPr>
        <w:widowControl/>
        <w:snapToGrid w:val="0"/>
        <w:spacing w:line="360" w:lineRule="auto"/>
        <w:ind w:firstLineChars="200" w:firstLine="520"/>
        <w:jc w:val="left"/>
        <w:rPr>
          <w:rFonts w:ascii="宋体" w:eastAsia="宋体" w:hAnsi="宋体" w:cs="宋体"/>
          <w:kern w:val="0"/>
          <w:sz w:val="24"/>
          <w:szCs w:val="24"/>
        </w:rPr>
      </w:pPr>
      <w:r w:rsidRPr="00746675">
        <w:rPr>
          <w:rFonts w:ascii="宋体" w:eastAsia="宋体" w:hAnsi="宋体" w:cs="宋体" w:hint="eastAsia"/>
          <w:color w:val="000000"/>
          <w:spacing w:val="10"/>
          <w:kern w:val="0"/>
          <w:sz w:val="24"/>
          <w:szCs w:val="24"/>
        </w:rPr>
        <w:t>任课教师在学分制系统提交成绩后，需经教务处发布，学生方能查看成绩。</w:t>
      </w:r>
    </w:p>
    <w:p w:rsidR="00746675" w:rsidRPr="00746675" w:rsidRDefault="00746675" w:rsidP="00746675">
      <w:pPr>
        <w:widowControl/>
        <w:snapToGrid w:val="0"/>
        <w:spacing w:line="360" w:lineRule="auto"/>
        <w:ind w:firstLineChars="200" w:firstLine="482"/>
        <w:jc w:val="left"/>
        <w:rPr>
          <w:rFonts w:ascii="宋体" w:eastAsia="宋体" w:hAnsi="宋体" w:cs="宋体"/>
          <w:kern w:val="0"/>
          <w:sz w:val="24"/>
          <w:szCs w:val="24"/>
        </w:rPr>
      </w:pPr>
      <w:r w:rsidRPr="00746675">
        <w:rPr>
          <w:rFonts w:ascii="宋体" w:eastAsia="宋体" w:hAnsi="宋体" w:cs="宋体" w:hint="eastAsia"/>
          <w:b/>
          <w:bCs/>
          <w:color w:val="000000"/>
          <w:kern w:val="0"/>
          <w:sz w:val="24"/>
          <w:szCs w:val="24"/>
        </w:rPr>
        <w:t>三、成绩的复议</w:t>
      </w:r>
    </w:p>
    <w:p w:rsidR="00746675" w:rsidRPr="00746675" w:rsidRDefault="00746675" w:rsidP="00746675">
      <w:pPr>
        <w:widowControl/>
        <w:snapToGrid w:val="0"/>
        <w:spacing w:line="360" w:lineRule="auto"/>
        <w:ind w:firstLineChars="200" w:firstLine="520"/>
        <w:jc w:val="left"/>
        <w:rPr>
          <w:rFonts w:ascii="宋体" w:eastAsia="宋体" w:hAnsi="宋体" w:cs="宋体"/>
          <w:kern w:val="0"/>
          <w:sz w:val="24"/>
          <w:szCs w:val="24"/>
        </w:rPr>
      </w:pPr>
      <w:r w:rsidRPr="00746675">
        <w:rPr>
          <w:rFonts w:ascii="宋体" w:eastAsia="宋体" w:hAnsi="宋体" w:cs="宋体" w:hint="eastAsia"/>
          <w:color w:val="000000"/>
          <w:spacing w:val="10"/>
          <w:kern w:val="0"/>
          <w:sz w:val="24"/>
          <w:szCs w:val="24"/>
        </w:rPr>
        <w:t>学生对其本人课程成绩或教学管理部门对学生课程成绩有异议均可提出复议申请。成绩复议申请由开课单位教务员受理，学生不得直接找任课教师查卷，教务员将成绩复议申请交开课单位负责人，由开课单位负责人组织复议，教务员将复议结果在学生提出申请之日起七个工作日内回复学生。</w:t>
      </w:r>
    </w:p>
    <w:p w:rsidR="00746675" w:rsidRPr="00746675" w:rsidRDefault="00746675" w:rsidP="00746675">
      <w:pPr>
        <w:widowControl/>
        <w:snapToGrid w:val="0"/>
        <w:spacing w:line="360" w:lineRule="auto"/>
        <w:ind w:firstLineChars="200" w:firstLine="520"/>
        <w:jc w:val="left"/>
        <w:rPr>
          <w:rFonts w:ascii="宋体" w:eastAsia="宋体" w:hAnsi="宋体" w:cs="宋体"/>
          <w:kern w:val="0"/>
          <w:sz w:val="24"/>
          <w:szCs w:val="24"/>
        </w:rPr>
      </w:pPr>
      <w:r w:rsidRPr="00746675">
        <w:rPr>
          <w:rFonts w:ascii="宋体" w:eastAsia="宋体" w:hAnsi="宋体" w:cs="宋体" w:hint="eastAsia"/>
          <w:color w:val="000000"/>
          <w:spacing w:val="10"/>
          <w:kern w:val="0"/>
          <w:sz w:val="24"/>
          <w:szCs w:val="24"/>
        </w:rPr>
        <w:lastRenderedPageBreak/>
        <w:t>学生提交课程成绩复议申请时间期限为自课程成绩发布之日起至下一学期开学七个工作日之内（缓考课程为课程成绩发布之日起三个工作日内）。</w:t>
      </w:r>
    </w:p>
    <w:p w:rsidR="00746675" w:rsidRPr="00746675" w:rsidRDefault="00746675" w:rsidP="00746675">
      <w:pPr>
        <w:widowControl/>
        <w:snapToGrid w:val="0"/>
        <w:spacing w:line="360" w:lineRule="auto"/>
        <w:ind w:firstLineChars="200" w:firstLine="482"/>
        <w:jc w:val="left"/>
        <w:rPr>
          <w:rFonts w:ascii="宋体" w:eastAsia="宋体" w:hAnsi="宋体" w:cs="宋体"/>
          <w:kern w:val="0"/>
          <w:sz w:val="24"/>
          <w:szCs w:val="24"/>
        </w:rPr>
      </w:pPr>
      <w:r w:rsidRPr="00746675">
        <w:rPr>
          <w:rFonts w:ascii="宋体" w:eastAsia="宋体" w:hAnsi="宋体" w:cs="宋体" w:hint="eastAsia"/>
          <w:b/>
          <w:bCs/>
          <w:color w:val="000000"/>
          <w:kern w:val="0"/>
          <w:sz w:val="24"/>
          <w:szCs w:val="24"/>
        </w:rPr>
        <w:t>四、成绩的修改</w:t>
      </w:r>
    </w:p>
    <w:p w:rsidR="00746675" w:rsidRPr="00746675" w:rsidRDefault="00746675" w:rsidP="00746675">
      <w:pPr>
        <w:widowControl/>
        <w:snapToGrid w:val="0"/>
        <w:spacing w:line="360" w:lineRule="auto"/>
        <w:ind w:firstLineChars="200" w:firstLine="520"/>
        <w:jc w:val="left"/>
        <w:rPr>
          <w:rFonts w:ascii="宋体" w:eastAsia="宋体" w:hAnsi="宋体" w:cs="宋体"/>
          <w:kern w:val="0"/>
          <w:sz w:val="24"/>
          <w:szCs w:val="24"/>
        </w:rPr>
      </w:pPr>
      <w:r w:rsidRPr="00746675">
        <w:rPr>
          <w:rFonts w:ascii="宋体" w:eastAsia="宋体" w:hAnsi="宋体" w:cs="宋体" w:hint="eastAsia"/>
          <w:color w:val="000000"/>
          <w:spacing w:val="10"/>
          <w:kern w:val="0"/>
          <w:sz w:val="24"/>
          <w:szCs w:val="24"/>
        </w:rPr>
        <w:t>（一）任课教师有责任保证提交成绩的正确性。因故需要修改已提交发布的成绩，相关责任人须承担相应的责任。</w:t>
      </w:r>
    </w:p>
    <w:p w:rsidR="00746675" w:rsidRPr="00746675" w:rsidRDefault="00746675" w:rsidP="00746675">
      <w:pPr>
        <w:widowControl/>
        <w:snapToGrid w:val="0"/>
        <w:spacing w:line="360" w:lineRule="auto"/>
        <w:ind w:firstLineChars="200" w:firstLine="520"/>
        <w:jc w:val="left"/>
        <w:rPr>
          <w:rFonts w:ascii="宋体" w:eastAsia="宋体" w:hAnsi="宋体" w:cs="宋体"/>
          <w:kern w:val="0"/>
          <w:sz w:val="24"/>
          <w:szCs w:val="24"/>
        </w:rPr>
      </w:pPr>
      <w:r w:rsidRPr="00746675">
        <w:rPr>
          <w:rFonts w:ascii="宋体" w:eastAsia="宋体" w:hAnsi="宋体" w:cs="宋体" w:hint="eastAsia"/>
          <w:color w:val="000000"/>
          <w:spacing w:val="10"/>
          <w:kern w:val="0"/>
          <w:sz w:val="24"/>
          <w:szCs w:val="24"/>
        </w:rPr>
        <w:t>如任课教师确需修改已发布的成绩时，在学分制系统中修改成绩，并打印“汕头大学成绩修改申请单”，填写更改原因，并提供被修改部分的给分依据材料，经教学单位负责人同意后，由教务员将“汕头大学成绩修改申请单”和被修改部分的给分依据材料送教务处进行审核，审核通过后，成绩修改方有效。</w:t>
      </w:r>
    </w:p>
    <w:p w:rsidR="00746675" w:rsidRPr="00746675" w:rsidRDefault="00746675" w:rsidP="00746675">
      <w:pPr>
        <w:widowControl/>
        <w:snapToGrid w:val="0"/>
        <w:spacing w:line="360" w:lineRule="auto"/>
        <w:ind w:firstLineChars="200" w:firstLine="520"/>
        <w:jc w:val="left"/>
        <w:rPr>
          <w:rFonts w:ascii="宋体" w:eastAsia="宋体" w:hAnsi="宋体" w:cs="宋体"/>
          <w:kern w:val="0"/>
          <w:sz w:val="24"/>
          <w:szCs w:val="24"/>
        </w:rPr>
      </w:pPr>
      <w:r w:rsidRPr="00746675">
        <w:rPr>
          <w:rFonts w:ascii="宋体" w:eastAsia="宋体" w:hAnsi="宋体" w:cs="宋体" w:hint="eastAsia"/>
          <w:color w:val="000000"/>
          <w:spacing w:val="10"/>
          <w:kern w:val="0"/>
          <w:sz w:val="24"/>
          <w:szCs w:val="24"/>
        </w:rPr>
        <w:t>（二）成绩修改申请时间为成绩发布之日起至下一学期开学2周内，缓考成绩修改申请时间为每学期课程缓考后一周内，逾期不予受理。</w:t>
      </w:r>
    </w:p>
    <w:p w:rsidR="00746675" w:rsidRDefault="00746675" w:rsidP="00746675">
      <w:pPr>
        <w:widowControl/>
        <w:snapToGrid w:val="0"/>
        <w:spacing w:line="360" w:lineRule="auto"/>
        <w:ind w:firstLineChars="200" w:firstLine="482"/>
        <w:jc w:val="left"/>
        <w:rPr>
          <w:rFonts w:ascii="宋体" w:eastAsia="宋体" w:hAnsi="宋体" w:cs="宋体"/>
          <w:b/>
          <w:bCs/>
          <w:color w:val="000000"/>
          <w:kern w:val="0"/>
          <w:sz w:val="24"/>
          <w:szCs w:val="24"/>
        </w:rPr>
      </w:pPr>
      <w:r w:rsidRPr="00746675">
        <w:rPr>
          <w:rFonts w:ascii="宋体" w:eastAsia="宋体" w:hAnsi="宋体" w:cs="宋体" w:hint="eastAsia"/>
          <w:b/>
          <w:bCs/>
          <w:color w:val="000000"/>
          <w:kern w:val="0"/>
          <w:sz w:val="24"/>
          <w:szCs w:val="24"/>
        </w:rPr>
        <w:t>五、本暂行规定自发布之日起开始执行。</w:t>
      </w:r>
    </w:p>
    <w:p w:rsidR="00746675" w:rsidRPr="00746675" w:rsidRDefault="00746675" w:rsidP="00746675">
      <w:pPr>
        <w:widowControl/>
        <w:jc w:val="left"/>
        <w:rPr>
          <w:rFonts w:ascii="微软雅黑" w:eastAsia="微软雅黑" w:hAnsi="微软雅黑" w:cs="宋体"/>
          <w:kern w:val="0"/>
          <w:szCs w:val="21"/>
        </w:rPr>
        <w:sectPr w:rsidR="00746675" w:rsidRPr="00746675">
          <w:type w:val="continuous"/>
          <w:pgSz w:w="12240" w:h="15840"/>
          <w:pgMar w:top="1440" w:right="1800" w:bottom="1440" w:left="1800" w:header="720" w:footer="720" w:gutter="0"/>
          <w:cols w:space="720"/>
        </w:sectPr>
      </w:pPr>
    </w:p>
    <w:p w:rsidR="00746675" w:rsidRPr="00746675" w:rsidRDefault="00746675" w:rsidP="00746675">
      <w:pPr>
        <w:widowControl/>
        <w:snapToGrid w:val="0"/>
        <w:spacing w:line="360" w:lineRule="auto"/>
        <w:ind w:firstLineChars="200" w:firstLine="482"/>
        <w:jc w:val="left"/>
        <w:rPr>
          <w:rFonts w:ascii="宋体" w:eastAsia="宋体" w:hAnsi="宋体" w:cs="宋体"/>
          <w:kern w:val="0"/>
          <w:sz w:val="24"/>
          <w:szCs w:val="24"/>
        </w:rPr>
      </w:pPr>
      <w:r w:rsidRPr="00746675">
        <w:rPr>
          <w:rFonts w:ascii="宋体" w:eastAsia="宋体" w:hAnsi="宋体" w:cs="宋体" w:hint="eastAsia"/>
          <w:b/>
          <w:bCs/>
          <w:color w:val="000000"/>
          <w:kern w:val="0"/>
          <w:sz w:val="24"/>
          <w:szCs w:val="24"/>
        </w:rPr>
        <w:lastRenderedPageBreak/>
        <w:t>六、本暂行规定由教务处负责解释。</w:t>
      </w:r>
    </w:p>
    <w:p w:rsidR="00746675" w:rsidRPr="00746675" w:rsidRDefault="00746675" w:rsidP="00746675">
      <w:pPr>
        <w:widowControl/>
        <w:snapToGrid w:val="0"/>
        <w:spacing w:line="360" w:lineRule="auto"/>
        <w:ind w:firstLineChars="200" w:firstLine="482"/>
        <w:jc w:val="left"/>
        <w:rPr>
          <w:rFonts w:ascii="宋体" w:eastAsia="宋体" w:hAnsi="宋体" w:cs="宋体"/>
          <w:kern w:val="0"/>
          <w:sz w:val="24"/>
          <w:szCs w:val="24"/>
        </w:rPr>
      </w:pPr>
      <w:r w:rsidRPr="00746675">
        <w:rPr>
          <w:rFonts w:ascii="宋体" w:eastAsia="宋体" w:hAnsi="宋体" w:cs="宋体" w:hint="eastAsia"/>
          <w:b/>
          <w:bCs/>
          <w:color w:val="000000"/>
          <w:kern w:val="0"/>
          <w:sz w:val="24"/>
          <w:szCs w:val="24"/>
        </w:rPr>
        <w:t> </w:t>
      </w:r>
    </w:p>
    <w:p w:rsidR="00746675" w:rsidRPr="00746675" w:rsidRDefault="00746675" w:rsidP="00746675">
      <w:pPr>
        <w:widowControl/>
        <w:snapToGrid w:val="0"/>
        <w:spacing w:line="360" w:lineRule="auto"/>
        <w:ind w:firstLineChars="300" w:firstLine="720"/>
        <w:jc w:val="left"/>
        <w:rPr>
          <w:rFonts w:ascii="宋体" w:eastAsia="宋体" w:hAnsi="宋体" w:cs="宋体"/>
          <w:kern w:val="0"/>
          <w:sz w:val="24"/>
          <w:szCs w:val="24"/>
        </w:rPr>
      </w:pPr>
      <w:r w:rsidRPr="00746675">
        <w:rPr>
          <w:rFonts w:ascii="宋体" w:eastAsia="宋体" w:hAnsi="宋体" w:cs="宋体" w:hint="eastAsia"/>
          <w:bCs/>
          <w:color w:val="000000"/>
          <w:kern w:val="0"/>
          <w:sz w:val="24"/>
          <w:szCs w:val="24"/>
        </w:rPr>
        <w:t xml:space="preserve">　　　　　　　　　　　　　　　</w:t>
      </w:r>
      <w:r>
        <w:rPr>
          <w:rFonts w:ascii="宋体" w:eastAsia="宋体" w:hAnsi="宋体" w:cs="宋体" w:hint="eastAsia"/>
          <w:bCs/>
          <w:color w:val="000000"/>
          <w:kern w:val="0"/>
          <w:sz w:val="24"/>
          <w:szCs w:val="24"/>
        </w:rPr>
        <w:t xml:space="preserve">　　　　　　</w:t>
      </w:r>
      <w:r w:rsidRPr="00746675">
        <w:rPr>
          <w:rFonts w:ascii="宋体" w:eastAsia="宋体" w:hAnsi="宋体" w:cs="宋体" w:hint="eastAsia"/>
          <w:bCs/>
          <w:color w:val="000000"/>
          <w:kern w:val="0"/>
          <w:sz w:val="24"/>
          <w:szCs w:val="24"/>
        </w:rPr>
        <w:t xml:space="preserve">　　教务处</w:t>
      </w:r>
    </w:p>
    <w:p w:rsidR="00E514F8" w:rsidRDefault="00746675" w:rsidP="00746675">
      <w:pPr>
        <w:widowControl/>
        <w:snapToGrid w:val="0"/>
        <w:spacing w:line="360" w:lineRule="auto"/>
        <w:ind w:firstLineChars="300" w:firstLine="720"/>
        <w:jc w:val="left"/>
      </w:pPr>
      <w:r w:rsidRPr="00746675">
        <w:rPr>
          <w:rFonts w:ascii="宋体" w:eastAsia="宋体" w:hAnsi="宋体" w:cs="宋体" w:hint="eastAsia"/>
          <w:bCs/>
          <w:color w:val="000000"/>
          <w:kern w:val="0"/>
          <w:sz w:val="24"/>
          <w:szCs w:val="24"/>
        </w:rPr>
        <w:t xml:space="preserve">　　　　　　　　　　　　　　　　　　　　　2015年1月14日</w:t>
      </w:r>
      <w:r w:rsidRPr="00746675">
        <w:rPr>
          <w:rFonts w:ascii="仿宋_GB2312" w:eastAsia="仿宋_GB2312" w:hAnsi="Times New Roman" w:cs="Times New Roman" w:hint="eastAsia"/>
          <w:kern w:val="0"/>
          <w:sz w:val="32"/>
          <w:szCs w:val="32"/>
        </w:rPr>
        <w:t>  </w:t>
      </w:r>
    </w:p>
    <w:sectPr w:rsidR="00E51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0D2" w:rsidRDefault="00F720D2" w:rsidP="00C81435">
      <w:r>
        <w:separator/>
      </w:r>
    </w:p>
  </w:endnote>
  <w:endnote w:type="continuationSeparator" w:id="0">
    <w:p w:rsidR="00F720D2" w:rsidRDefault="00F720D2" w:rsidP="00C81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小标宋">
    <w:panose1 w:val="03000509000000000000"/>
    <w:charset w:val="86"/>
    <w:family w:val="script"/>
    <w:pitch w:val="fixed"/>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0D2" w:rsidRDefault="00F720D2" w:rsidP="00C81435">
      <w:r>
        <w:separator/>
      </w:r>
    </w:p>
  </w:footnote>
  <w:footnote w:type="continuationSeparator" w:id="0">
    <w:p w:rsidR="00F720D2" w:rsidRDefault="00F720D2" w:rsidP="00C81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675"/>
    <w:rsid w:val="003E7A11"/>
    <w:rsid w:val="00746675"/>
    <w:rsid w:val="00A26AF0"/>
    <w:rsid w:val="00C81435"/>
    <w:rsid w:val="00D432A7"/>
    <w:rsid w:val="00E514F8"/>
    <w:rsid w:val="00F72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00094B-1DF2-4988-A3EF-535DFD13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6675"/>
    <w:pPr>
      <w:widowControl/>
      <w:spacing w:before="100" w:beforeAutospacing="1" w:after="100" w:afterAutospacing="1"/>
      <w:jc w:val="left"/>
    </w:pPr>
    <w:rPr>
      <w:rFonts w:ascii="宋体" w:eastAsia="宋体" w:hAnsi="宋体" w:cs="宋体"/>
      <w:kern w:val="0"/>
      <w:sz w:val="24"/>
      <w:szCs w:val="24"/>
    </w:rPr>
  </w:style>
  <w:style w:type="paragraph" w:styleId="a4">
    <w:name w:val="Plain Text"/>
    <w:basedOn w:val="a"/>
    <w:link w:val="a5"/>
    <w:uiPriority w:val="99"/>
    <w:semiHidden/>
    <w:unhideWhenUsed/>
    <w:rsid w:val="00746675"/>
    <w:pPr>
      <w:widowControl/>
      <w:spacing w:before="100" w:beforeAutospacing="1" w:after="100" w:afterAutospacing="1"/>
      <w:jc w:val="left"/>
    </w:pPr>
    <w:rPr>
      <w:rFonts w:ascii="宋体" w:eastAsia="宋体" w:hAnsi="宋体" w:cs="宋体"/>
      <w:kern w:val="0"/>
      <w:sz w:val="24"/>
      <w:szCs w:val="24"/>
    </w:rPr>
  </w:style>
  <w:style w:type="character" w:customStyle="1" w:styleId="a5">
    <w:name w:val="纯文本 字符"/>
    <w:basedOn w:val="a0"/>
    <w:link w:val="a4"/>
    <w:uiPriority w:val="99"/>
    <w:semiHidden/>
    <w:rsid w:val="00746675"/>
    <w:rPr>
      <w:rFonts w:ascii="宋体" w:eastAsia="宋体" w:hAnsi="宋体" w:cs="宋体"/>
      <w:kern w:val="0"/>
      <w:sz w:val="24"/>
      <w:szCs w:val="24"/>
    </w:rPr>
  </w:style>
  <w:style w:type="paragraph" w:styleId="a6">
    <w:name w:val="header"/>
    <w:basedOn w:val="a"/>
    <w:link w:val="a7"/>
    <w:uiPriority w:val="99"/>
    <w:unhideWhenUsed/>
    <w:rsid w:val="00C8143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81435"/>
    <w:rPr>
      <w:sz w:val="18"/>
      <w:szCs w:val="18"/>
    </w:rPr>
  </w:style>
  <w:style w:type="paragraph" w:styleId="a8">
    <w:name w:val="footer"/>
    <w:basedOn w:val="a"/>
    <w:link w:val="a9"/>
    <w:uiPriority w:val="99"/>
    <w:unhideWhenUsed/>
    <w:rsid w:val="00C81435"/>
    <w:pPr>
      <w:tabs>
        <w:tab w:val="center" w:pos="4153"/>
        <w:tab w:val="right" w:pos="8306"/>
      </w:tabs>
      <w:snapToGrid w:val="0"/>
      <w:jc w:val="left"/>
    </w:pPr>
    <w:rPr>
      <w:sz w:val="18"/>
      <w:szCs w:val="18"/>
    </w:rPr>
  </w:style>
  <w:style w:type="character" w:customStyle="1" w:styleId="a9">
    <w:name w:val="页脚 字符"/>
    <w:basedOn w:val="a0"/>
    <w:link w:val="a8"/>
    <w:uiPriority w:val="99"/>
    <w:rsid w:val="00C814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233755">
      <w:bodyDiv w:val="1"/>
      <w:marLeft w:val="0"/>
      <w:marRight w:val="0"/>
      <w:marTop w:val="0"/>
      <w:marBottom w:val="0"/>
      <w:divBdr>
        <w:top w:val="none" w:sz="0" w:space="0" w:color="auto"/>
        <w:left w:val="none" w:sz="0" w:space="0" w:color="auto"/>
        <w:bottom w:val="none" w:sz="0" w:space="0" w:color="auto"/>
        <w:right w:val="none" w:sz="0" w:space="0" w:color="auto"/>
      </w:divBdr>
      <w:divsChild>
        <w:div w:id="1430350757">
          <w:marLeft w:val="0"/>
          <w:marRight w:val="0"/>
          <w:marTop w:val="0"/>
          <w:marBottom w:val="0"/>
          <w:divBdr>
            <w:top w:val="none" w:sz="0" w:space="0" w:color="auto"/>
            <w:left w:val="none" w:sz="0" w:space="0" w:color="auto"/>
            <w:bottom w:val="none" w:sz="0" w:space="0" w:color="auto"/>
            <w:right w:val="none" w:sz="0" w:space="0" w:color="auto"/>
          </w:divBdr>
          <w:divsChild>
            <w:div w:id="648290511">
              <w:marLeft w:val="0"/>
              <w:marRight w:val="0"/>
              <w:marTop w:val="0"/>
              <w:marBottom w:val="0"/>
              <w:divBdr>
                <w:top w:val="none" w:sz="0" w:space="0" w:color="auto"/>
                <w:left w:val="none" w:sz="0" w:space="0" w:color="auto"/>
                <w:bottom w:val="none" w:sz="0" w:space="0" w:color="auto"/>
                <w:right w:val="none" w:sz="0" w:space="0" w:color="auto"/>
              </w:divBdr>
            </w:div>
            <w:div w:id="1565872510">
              <w:marLeft w:val="0"/>
              <w:marRight w:val="0"/>
              <w:marTop w:val="0"/>
              <w:marBottom w:val="0"/>
              <w:divBdr>
                <w:top w:val="none" w:sz="0" w:space="0" w:color="auto"/>
                <w:left w:val="none" w:sz="0" w:space="0" w:color="auto"/>
                <w:bottom w:val="none" w:sz="0" w:space="0" w:color="auto"/>
                <w:right w:val="none" w:sz="0" w:space="0" w:color="auto"/>
              </w:divBdr>
            </w:div>
            <w:div w:id="1579095036">
              <w:marLeft w:val="0"/>
              <w:marRight w:val="0"/>
              <w:marTop w:val="0"/>
              <w:marBottom w:val="0"/>
              <w:divBdr>
                <w:top w:val="none" w:sz="0" w:space="0" w:color="auto"/>
                <w:left w:val="none" w:sz="0" w:space="0" w:color="auto"/>
                <w:bottom w:val="none" w:sz="0" w:space="0" w:color="auto"/>
                <w:right w:val="none" w:sz="0" w:space="0" w:color="auto"/>
              </w:divBdr>
            </w:div>
            <w:div w:id="77509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217</Words>
  <Characters>1240</Characters>
  <Application>Microsoft Office Word</Application>
  <DocSecurity>0</DocSecurity>
  <Lines>10</Lines>
  <Paragraphs>2</Paragraphs>
  <ScaleCrop>false</ScaleCrop>
  <Company>微软中国</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沈少龙</cp:lastModifiedBy>
  <cp:revision>3</cp:revision>
  <dcterms:created xsi:type="dcterms:W3CDTF">2016-12-02T03:07:00Z</dcterms:created>
  <dcterms:modified xsi:type="dcterms:W3CDTF">2016-12-02T04:59:00Z</dcterms:modified>
</cp:coreProperties>
</file>